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70c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70c0"/>
          <w:sz w:val="18"/>
          <w:szCs w:val="18"/>
          <w:u w:val="none"/>
          <w:shd w:fill="auto" w:val="clear"/>
          <w:vertAlign w:val="baseline"/>
          <w:rtl w:val="0"/>
        </w:rPr>
        <w:t xml:space="preserve">LIC. EN DERECHO/ CONTRATOS/ REVISIÓN ESCRITURAS/ AUDITORIA/ FINIQUITOS/ ERP ENKONTROL/ GESTIÓN EMPRESA INCLUYENTE/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70c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70c0"/>
          <w:sz w:val="18"/>
          <w:szCs w:val="18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70c0"/>
          <w:sz w:val="18"/>
          <w:szCs w:val="18"/>
          <w:u w:val="none"/>
          <w:shd w:fill="auto" w:val="clear"/>
          <w:vertAlign w:val="baseline"/>
        </w:rPr>
        <w:drawing>
          <wp:inline distB="0" distT="0" distL="114300" distR="114300">
            <wp:extent cx="875665" cy="1009015"/>
            <wp:effectExtent b="0" l="0" r="0" t="0"/>
            <wp:docPr id="102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1009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70c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Century Gothic" w:cs="Century Gothic" w:eastAsia="Century Gothic" w:hAnsi="Century Gothic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vertAlign w:val="baseline"/>
          <w:rtl w:val="0"/>
        </w:rPr>
        <w:t xml:space="preserve">ALEJANDRA DEANTES VILLAFUERTE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Dirección: Terrazas, Tequisquiapan, San Luis Potosí, C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P. 78230.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Email: ale.deantes@gmail.com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Teléfono celular: 3312355141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Estado civil: Soltera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Fecha de nacimiento: 27 de abril de 1987.</w:t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Century Gothic" w:cs="Century Gothic" w:eastAsia="Century Gothic" w:hAnsi="Century Gothic"/>
          <w:b w:val="0"/>
          <w:color w:val="0070c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70c0"/>
          <w:sz w:val="18"/>
          <w:szCs w:val="18"/>
          <w:vertAlign w:val="baseline"/>
          <w:rtl w:val="0"/>
        </w:rPr>
        <w:t xml:space="preserve">FORMACIÓN ACADÉMICA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vertAlign w:val="baseline"/>
          <w:rtl w:val="0"/>
        </w:rPr>
        <w:t xml:space="preserve">Licenciatura: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 Licenciatura en derecho, generación 14/08/2006- 11/12/2010.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Titulada del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vertAlign w:val="baseline"/>
          <w:rtl w:val="0"/>
        </w:rPr>
        <w:t xml:space="preserve">ITESO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 (Instituto Tecnológico y de Estudios Superiores de Occidente) en Guadalajara, Jalisco.</w:t>
      </w:r>
    </w:p>
    <w:p w:rsidR="00000000" w:rsidDel="00000000" w:rsidP="00000000" w:rsidRDefault="00000000" w:rsidRPr="00000000" w14:paraId="0000000D">
      <w:pPr>
        <w:contextualSpacing w:val="0"/>
        <w:jc w:val="both"/>
        <w:rPr>
          <w:rFonts w:ascii="Century Gothic" w:cs="Century Gothic" w:eastAsia="Century Gothic" w:hAnsi="Century Gothic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both"/>
        <w:rPr>
          <w:rFonts w:ascii="Century Gothic" w:cs="Century Gothic" w:eastAsia="Century Gothic" w:hAnsi="Century Gothic"/>
          <w:b w:val="0"/>
          <w:color w:val="0070c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70c0"/>
          <w:sz w:val="18"/>
          <w:szCs w:val="18"/>
          <w:vertAlign w:val="baseline"/>
          <w:rtl w:val="0"/>
        </w:rPr>
        <w:t xml:space="preserve">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both"/>
        <w:rPr>
          <w:rFonts w:ascii="Century Gothic" w:cs="Century Gothic" w:eastAsia="Century Gothic" w:hAnsi="Century Gothic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vertAlign w:val="baseline"/>
          <w:rtl w:val="0"/>
        </w:rPr>
        <w:t xml:space="preserve">Inglés fluido (escrito y hablado)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both"/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both"/>
        <w:rPr>
          <w:rFonts w:ascii="Century Gothic" w:cs="Century Gothic" w:eastAsia="Century Gothic" w:hAnsi="Century Gothic"/>
          <w:b w:val="0"/>
          <w:color w:val="0070c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70c0"/>
          <w:sz w:val="18"/>
          <w:szCs w:val="18"/>
          <w:vertAlign w:val="baseline"/>
          <w:rtl w:val="0"/>
        </w:rPr>
        <w:t xml:space="preserve">EXPERIENCIA LABORAL.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both"/>
        <w:rPr>
          <w:rFonts w:ascii="Century Gothic" w:cs="Century Gothic" w:eastAsia="Century Gothic" w:hAnsi="Century Gothic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vertAlign w:val="baseline"/>
          <w:rtl w:val="0"/>
        </w:rPr>
        <w:t xml:space="preserve">GRUPO SOLIDO (01/2017 – Actual)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both"/>
        <w:rPr>
          <w:rFonts w:ascii="Century Gothic" w:cs="Century Gothic" w:eastAsia="Century Gothic" w:hAnsi="Century Gothic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vertAlign w:val="baseline"/>
          <w:rtl w:val="0"/>
        </w:rPr>
        <w:t xml:space="preserve">Puesto: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Abogado corporativo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both"/>
        <w:rPr>
          <w:rFonts w:ascii="Century Gothic" w:cs="Century Gothic" w:eastAsia="Century Gothic" w:hAnsi="Century Gothic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vertAlign w:val="baseline"/>
          <w:rtl w:val="0"/>
        </w:rPr>
        <w:t xml:space="preserve">Responsabilidades: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both"/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Auditoria a expedientes administrativos de constructora e inmobiliaria.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Entrega de finiquitos y liquidaciones a personal de la empresa.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Elaboración y revisión de contratos de prestación de servicios, suministro, comodato, de obra, arrendamientos, políticas de trabajo.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Elaboración y revisión de escrituras, poderes, certificación de hechos, actas de asamblea, régimen de condominio, compraventas.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Coordinación con despachos y Notarías externos (actas constitutivas, poderes, certificación de Hechos, juicios).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Manejo de ERP ENKONTROL (Solicitud de recursos).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Atención de quejas de PROFECO.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Atención de consignación de llaves en Juzgados.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Opciones de compra de terrenos.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Asistencia a Asambleas para designación de Consejo de Administración de Condóminos.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Control y resguardo de expedientes y documentos jurídicos, así como la administración mediante base de datos.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Ratificación de renuncias ante Junta Local de Conciliación y Arbitraje.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Implementación de transferencia de personal de outsourcing a corporativo (recabar firmas del expediente jurídico maestro).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jc w:val="both"/>
        <w:rPr>
          <w:rFonts w:ascii="Century Gothic" w:cs="Century Gothic" w:eastAsia="Century Gothic" w:hAnsi="Century Gothic"/>
          <w:b w:val="0"/>
          <w:color w:val="548dd4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jc w:val="both"/>
        <w:rPr>
          <w:rFonts w:ascii="Century Gothic" w:cs="Century Gothic" w:eastAsia="Century Gothic" w:hAnsi="Century Gothic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vertAlign w:val="baseline"/>
          <w:rtl w:val="0"/>
        </w:rPr>
        <w:t xml:space="preserve">GRUPO VIDA (01/2016 – 01/2017)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jc w:val="both"/>
        <w:rPr>
          <w:rFonts w:ascii="Century Gothic" w:cs="Century Gothic" w:eastAsia="Century Gothic" w:hAnsi="Century Gothic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vertAlign w:val="baseline"/>
          <w:rtl w:val="0"/>
        </w:rPr>
        <w:t xml:space="preserve">Puesto: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Abogado Corporativo Jr.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jc w:val="both"/>
        <w:rPr>
          <w:rFonts w:ascii="Century Gothic" w:cs="Century Gothic" w:eastAsia="Century Gothic" w:hAnsi="Century Gothic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vertAlign w:val="baseline"/>
          <w:rtl w:val="0"/>
        </w:rPr>
        <w:t xml:space="preserve">Responsabilidades: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jc w:val="both"/>
        <w:rPr>
          <w:rFonts w:ascii="Century Gothic" w:cs="Century Gothic" w:eastAsia="Century Gothic" w:hAnsi="Century Gothic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Gestión e implementación de distintivo empresa incluyente “Gilberto Rincón Gallardo” 2016, otorgado por la Secretaría del Trabajo y Previsión Social.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Elaboración y revisión de contratos de obra, suministro, prestación de servicios, arrendamientos, compraventas.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Coordinación con despachos externos para seguimientos de juicios laborales.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Manejo de bases de datos para llevar el control de todos los contratos y documentación jurídica de la empresa.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Solicitudes de registro de marca ante el IMPI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720"/>
        </w:tabs>
        <w:ind w:right="18"/>
        <w:contextualSpacing w:val="0"/>
        <w:jc w:val="both"/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720"/>
        </w:tabs>
        <w:ind w:right="18"/>
        <w:contextualSpacing w:val="0"/>
        <w:jc w:val="both"/>
        <w:rPr>
          <w:rFonts w:ascii="Century Gothic" w:cs="Century Gothic" w:eastAsia="Century Gothic" w:hAnsi="Century Gothic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18"/>
          <w:szCs w:val="18"/>
          <w:vertAlign w:val="baseline"/>
          <w:rtl w:val="0"/>
        </w:rPr>
        <w:t xml:space="preserve">CITICAPITAL (01/2015 – 01/2016)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720"/>
        </w:tabs>
        <w:ind w:right="18"/>
        <w:contextualSpacing w:val="0"/>
        <w:jc w:val="both"/>
        <w:rPr>
          <w:rFonts w:ascii="Century Gothic" w:cs="Century Gothic" w:eastAsia="Century Gothic" w:hAnsi="Century Gothic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18"/>
          <w:szCs w:val="18"/>
          <w:vertAlign w:val="baseline"/>
          <w:rtl w:val="0"/>
        </w:rPr>
        <w:t xml:space="preserve">Puesto: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vertAlign w:val="baseline"/>
          <w:rtl w:val="0"/>
        </w:rPr>
        <w:t xml:space="preserve">Abogado Corporativo</w:t>
      </w:r>
    </w:p>
    <w:p w:rsidR="00000000" w:rsidDel="00000000" w:rsidP="00000000" w:rsidRDefault="00000000" w:rsidRPr="00000000" w14:paraId="00000031">
      <w:pPr>
        <w:tabs>
          <w:tab w:val="left" w:pos="720"/>
        </w:tabs>
        <w:ind w:right="18"/>
        <w:contextualSpacing w:val="0"/>
        <w:jc w:val="both"/>
        <w:rPr>
          <w:rFonts w:ascii="Century Gothic" w:cs="Century Gothic" w:eastAsia="Century Gothic" w:hAnsi="Century Gothic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18"/>
          <w:szCs w:val="18"/>
          <w:vertAlign w:val="baseline"/>
          <w:rtl w:val="0"/>
        </w:rPr>
        <w:t xml:space="preserve">Responsabilidades: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tabs>
          <w:tab w:val="left" w:pos="720"/>
        </w:tabs>
        <w:ind w:left="720" w:right="18" w:hanging="360"/>
        <w:contextualSpacing w:val="0"/>
        <w:jc w:val="both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vertAlign w:val="baseline"/>
          <w:rtl w:val="0"/>
        </w:rPr>
        <w:t xml:space="preserve">Elaboración, revisión, seguimiento y negociación de contratos de compraventa, convenios de adhesión, convenios modificatorios, cesión de derechos, convenios de terminación,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tabs>
          <w:tab w:val="left" w:pos="720"/>
        </w:tabs>
        <w:ind w:left="720" w:right="18" w:hanging="360"/>
        <w:contextualSpacing w:val="0"/>
        <w:jc w:val="both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vertAlign w:val="baseline"/>
          <w:rtl w:val="0"/>
        </w:rPr>
        <w:t xml:space="preserve">Gestión con Banco Monex y Banco Azteca para formalización de escrituras, llenado de formato PLD.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720"/>
        </w:tabs>
        <w:ind w:right="18"/>
        <w:contextualSpacing w:val="0"/>
        <w:jc w:val="both"/>
        <w:rPr>
          <w:rFonts w:ascii="Century Gothic" w:cs="Century Gothic" w:eastAsia="Century Gothic" w:hAnsi="Century Gothic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720"/>
        </w:tabs>
        <w:ind w:right="18"/>
        <w:contextualSpacing w:val="0"/>
        <w:jc w:val="both"/>
        <w:rPr>
          <w:rFonts w:ascii="Century Gothic" w:cs="Century Gothic" w:eastAsia="Century Gothic" w:hAnsi="Century Gothic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CONAFOR - COMISIÓN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18"/>
          <w:szCs w:val="18"/>
          <w:vertAlign w:val="baseline"/>
          <w:rtl w:val="0"/>
        </w:rPr>
        <w:t xml:space="preserve"> NACIONAL FORESTAL (05/2013 – 01/2015)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720"/>
        </w:tabs>
        <w:ind w:right="18"/>
        <w:contextualSpacing w:val="0"/>
        <w:jc w:val="both"/>
        <w:rPr>
          <w:rFonts w:ascii="Century Gothic" w:cs="Century Gothic" w:eastAsia="Century Gothic" w:hAnsi="Century Gothic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18"/>
          <w:szCs w:val="18"/>
          <w:vertAlign w:val="baseline"/>
          <w:rtl w:val="0"/>
        </w:rPr>
        <w:t xml:space="preserve">Puesto: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vertAlign w:val="baseline"/>
          <w:rtl w:val="0"/>
        </w:rPr>
        <w:t xml:space="preserve"> Analista Jurídico de lo Contencioso</w:t>
      </w:r>
    </w:p>
    <w:p w:rsidR="00000000" w:rsidDel="00000000" w:rsidP="00000000" w:rsidRDefault="00000000" w:rsidRPr="00000000" w14:paraId="00000037">
      <w:pPr>
        <w:tabs>
          <w:tab w:val="left" w:pos="720"/>
        </w:tabs>
        <w:ind w:right="18"/>
        <w:contextualSpacing w:val="0"/>
        <w:jc w:val="both"/>
        <w:rPr>
          <w:rFonts w:ascii="Century Gothic" w:cs="Century Gothic" w:eastAsia="Century Gothic" w:hAnsi="Century Gothic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18"/>
          <w:szCs w:val="18"/>
          <w:vertAlign w:val="baseline"/>
          <w:rtl w:val="0"/>
        </w:rPr>
        <w:t xml:space="preserve">Responsabilidades: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720"/>
        </w:tabs>
        <w:ind w:right="18"/>
        <w:contextualSpacing w:val="0"/>
        <w:jc w:val="both"/>
        <w:rPr>
          <w:rFonts w:ascii="Century Gothic" w:cs="Century Gothic" w:eastAsia="Century Gothic" w:hAnsi="Century Gothic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tabs>
          <w:tab w:val="left" w:pos="720"/>
        </w:tabs>
        <w:ind w:left="720" w:right="18" w:hanging="360"/>
        <w:contextualSpacing w:val="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vertAlign w:val="baseline"/>
          <w:rtl w:val="0"/>
        </w:rPr>
        <w:t xml:space="preserve">Elaboración de Convenios de terminación, renuncias y ratificación ante la Junta Federal.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tabs>
          <w:tab w:val="left" w:pos="720"/>
        </w:tabs>
        <w:ind w:left="720" w:right="18" w:hanging="360"/>
        <w:contextualSpacing w:val="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vertAlign w:val="baseline"/>
          <w:rtl w:val="0"/>
        </w:rPr>
        <w:t xml:space="preserve">Informes previos y justificados.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720"/>
        </w:tabs>
        <w:ind w:right="18"/>
        <w:contextualSpacing w:val="0"/>
        <w:jc w:val="both"/>
        <w:rPr>
          <w:rFonts w:ascii="Century Gothic" w:cs="Century Gothic" w:eastAsia="Century Gothic" w:hAnsi="Century Gothic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720"/>
        </w:tabs>
        <w:ind w:right="18"/>
        <w:contextualSpacing w:val="0"/>
        <w:jc w:val="both"/>
        <w:rPr>
          <w:rFonts w:ascii="Century Gothic" w:cs="Century Gothic" w:eastAsia="Century Gothic" w:hAnsi="Century Gothic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SAT - SERVICIO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18"/>
          <w:szCs w:val="18"/>
          <w:vertAlign w:val="baseline"/>
          <w:rtl w:val="0"/>
        </w:rPr>
        <w:t xml:space="preserve"> DE ADMINISTRACIÓN TRIBUTARIA (04/2011 -05/2012)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720"/>
        </w:tabs>
        <w:ind w:right="18"/>
        <w:contextualSpacing w:val="0"/>
        <w:jc w:val="both"/>
        <w:rPr>
          <w:rFonts w:ascii="Century Gothic" w:cs="Century Gothic" w:eastAsia="Century Gothic" w:hAnsi="Century Gothic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18"/>
          <w:szCs w:val="18"/>
          <w:vertAlign w:val="baseline"/>
          <w:rtl w:val="0"/>
        </w:rPr>
        <w:t xml:space="preserve">Puesto: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vertAlign w:val="baseline"/>
          <w:rtl w:val="0"/>
        </w:rPr>
        <w:t xml:space="preserve">Abogado Tributario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720"/>
        </w:tabs>
        <w:ind w:right="18"/>
        <w:contextualSpacing w:val="0"/>
        <w:jc w:val="both"/>
        <w:rPr>
          <w:rFonts w:ascii="Century Gothic" w:cs="Century Gothic" w:eastAsia="Century Gothic" w:hAnsi="Century Gothic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18"/>
          <w:szCs w:val="18"/>
          <w:vertAlign w:val="baseline"/>
          <w:rtl w:val="0"/>
        </w:rPr>
        <w:t xml:space="preserve">Responsabilidades: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720"/>
        </w:tabs>
        <w:ind w:right="18"/>
        <w:contextualSpacing w:val="0"/>
        <w:jc w:val="both"/>
        <w:rPr>
          <w:rFonts w:ascii="Century Gothic" w:cs="Century Gothic" w:eastAsia="Century Gothic" w:hAnsi="Century Gothic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tabs>
          <w:tab w:val="left" w:pos="720"/>
        </w:tabs>
        <w:ind w:left="720" w:right="18" w:hanging="360"/>
        <w:contextualSpacing w:val="0"/>
        <w:jc w:val="both"/>
        <w:rPr>
          <w:b w:val="0"/>
          <w:color w:val="00000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vertAlign w:val="baseline"/>
          <w:rtl w:val="0"/>
        </w:rPr>
        <w:t xml:space="preserve">Procedimiento Administrativo de Ejecución, citatorios, notificaciones, embargos, requerimientos de pago, actas circunstanciadas de hechos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18"/>
          <w:szCs w:val="18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720"/>
        </w:tabs>
        <w:ind w:right="18"/>
        <w:contextualSpacing w:val="0"/>
        <w:jc w:val="both"/>
        <w:rPr>
          <w:rFonts w:ascii="Century Gothic" w:cs="Century Gothic" w:eastAsia="Century Gothic" w:hAnsi="Century Gothic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jc w:val="both"/>
        <w:rPr>
          <w:rFonts w:ascii="Century Gothic" w:cs="Century Gothic" w:eastAsia="Century Gothic" w:hAnsi="Century Gothic"/>
          <w:b w:val="0"/>
          <w:color w:val="0070c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70c0"/>
          <w:sz w:val="18"/>
          <w:szCs w:val="18"/>
          <w:vertAlign w:val="baseline"/>
          <w:rtl w:val="0"/>
        </w:rPr>
        <w:t xml:space="preserve">TRABAJO EN EL EXTRANJERO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jc w:val="both"/>
        <w:rPr>
          <w:rFonts w:ascii="Century Gothic" w:cs="Century Gothic" w:eastAsia="Century Gothic" w:hAnsi="Century Gothic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vertAlign w:val="baseline"/>
          <w:rtl w:val="0"/>
        </w:rPr>
        <w:t xml:space="preserve">Travel Joy Hotel en Londres, Inglaterra (06/2012 – 12/2012)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jc w:val="both"/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Encargada de check  in/ out de huéspedes, encargada de caja, atención a cliente.</w:t>
      </w:r>
    </w:p>
    <w:p w:rsidR="00000000" w:rsidDel="00000000" w:rsidP="00000000" w:rsidRDefault="00000000" w:rsidRPr="00000000" w14:paraId="00000045">
      <w:pPr>
        <w:contextualSpacing w:val="0"/>
        <w:jc w:val="both"/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jc w:val="both"/>
        <w:rPr>
          <w:rFonts w:ascii="Century Gothic" w:cs="Century Gothic" w:eastAsia="Century Gothic" w:hAnsi="Century Gothic"/>
          <w:b w:val="0"/>
          <w:color w:val="0070c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70c0"/>
          <w:sz w:val="18"/>
          <w:szCs w:val="18"/>
          <w:vertAlign w:val="baseline"/>
          <w:rtl w:val="0"/>
        </w:rPr>
        <w:t xml:space="preserve">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vertAlign w:val="baseline"/>
          <w:rtl w:val="0"/>
        </w:rPr>
        <w:t xml:space="preserve">Proactiva, organizada, liderazgo, analítica, </w:t>
      </w:r>
    </w:p>
    <w:p w:rsidR="00000000" w:rsidDel="00000000" w:rsidP="00000000" w:rsidRDefault="00000000" w:rsidRPr="00000000" w14:paraId="00000048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jc w:val="both"/>
        <w:rPr>
          <w:rFonts w:ascii="Century Gothic" w:cs="Century Gothic" w:eastAsia="Century Gothic" w:hAnsi="Century Gothic"/>
          <w:b w:val="0"/>
          <w:color w:val="0070c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70c0"/>
          <w:sz w:val="18"/>
          <w:szCs w:val="18"/>
          <w:vertAlign w:val="baseline"/>
          <w:rtl w:val="0"/>
        </w:rPr>
        <w:t xml:space="preserve">PASATIEMPOS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jc w:val="both"/>
        <w:rPr>
          <w:rFonts w:ascii="Century Gothic" w:cs="Century Gothic" w:eastAsia="Century Gothic" w:hAnsi="Century Gothic"/>
          <w:b w:val="0"/>
          <w:color w:val="0070c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CrossFit, leer, películas, conocer nuevos lugares</w:t>
      </w:r>
      <w:r w:rsidDel="00000000" w:rsidR="00000000" w:rsidRPr="00000000">
        <w:rPr>
          <w:rFonts w:ascii="Century Gothic" w:cs="Century Gothic" w:eastAsia="Century Gothic" w:hAnsi="Century Gothic"/>
          <w:color w:val="0070c0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jc w:val="both"/>
        <w:rPr>
          <w:rFonts w:ascii="Century Gothic" w:cs="Century Gothic" w:eastAsia="Century Gothic" w:hAnsi="Century Gothic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jc w:val="both"/>
        <w:rPr>
          <w:rFonts w:ascii="Century Gothic" w:cs="Century Gothic" w:eastAsia="Century Gothic" w:hAnsi="Century Gothic"/>
          <w:b w:val="0"/>
          <w:color w:val="0070c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70c0"/>
          <w:sz w:val="18"/>
          <w:szCs w:val="18"/>
          <w:vertAlign w:val="baseline"/>
          <w:rtl w:val="0"/>
        </w:rPr>
        <w:t xml:space="preserve">SOFTWARE &amp; HARDWARE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jc w:val="both"/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Manejo de Office (Excel, Word, PP), Outlook/e-mail, búsqueda y manejo de información en internet, scanner, fax, copiadora/impresora, conmutador.</w:t>
      </w:r>
    </w:p>
    <w:sectPr>
      <w:pgSz w:h="15840" w:w="12240"/>
      <w:pgMar w:bottom="360" w:top="71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 Gothic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MX" w:val="es-MX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MX" w:val="es-MX"/>
    </w:rPr>
  </w:style>
  <w:style w:type="character" w:styleId="apple-style-span">
    <w:name w:val="apple-style-span"/>
    <w:basedOn w:val="Fuentedepárrafopredeter.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MX" w:val="es-MX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MX" w:val="es-MX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